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/>
      </w:pPr>
      <w:r>
        <w:rPr>
          <w:rFonts w:ascii="Calibri" w:hAnsi="Calibri"/>
          <w:b/>
          <w:i w:val="0"/>
          <w:color w:val="31540F"/>
          <w:sz w:val="18"/>
        </w:rPr>
        <w:t>PENTEST24 / DOKUMENT OPERACYJNY</w:t>
      </w:r>
    </w:p>
    <w:p>
      <w:pPr>
        <w:spacing w:before="0" w:after="120"/>
      </w:pPr>
      <w:r>
        <w:rPr>
          <w:rFonts w:ascii="Calibri" w:hAnsi="Calibri"/>
          <w:b/>
          <w:i w:val="0"/>
          <w:color w:val="07100D"/>
          <w:sz w:val="52"/>
        </w:rPr>
        <w:t>Autoryzacja i Rules of Engagement testu penetracyjnego</w:t>
      </w:r>
    </w:p>
    <w:p>
      <w:pPr>
        <w:spacing w:before="0" w:after="360" w:line="276" w:lineRule="auto"/>
      </w:pPr>
      <w:r>
        <w:rPr>
          <w:rFonts w:ascii="Calibri" w:hAnsi="Calibri"/>
          <w:b w:val="0"/>
          <w:i w:val="0"/>
          <w:color w:val="59635C"/>
          <w:sz w:val="25"/>
        </w:rPr>
        <w:t>Edytowalny wzór zgody, dokładnego zakresu, zasad bezpieczeństwa, komunikacji i warunków przerwania testu.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Pole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Wartość do uzupełnienia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Zamawiający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[[PEŁNA NAZWA, ADRES, NIP / NUMER REJESTROWY]]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Wykonawca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[[PEŁNA NAZWA, ADRES, NIP / NUMER REJESTROWY]]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Nazwa zlecenia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[[NAZWA PROJEKTU / SYSTEMU]]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Numer / wersja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[[NUMER, WERSJA, DATA DOKUMENTU]]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Okno testowe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 I GODZINA STARTU - DATA I GODZINA KOŃCA, STREFA CZASOWA]]</w:t>
            </w:r>
          </w:p>
        </w:tc>
      </w:tr>
    </w:tbl>
    <w:p>
      <w:pPr>
        <w:spacing w:after="40"/>
      </w:pPr>
    </w:p>
    <w:p>
      <w:pPr>
        <w:spacing w:before="40" w:after="200" w:line="288" w:lineRule="auto"/>
        <w:shd w:fill="F3F5ED"/>
        <w:pBdr>
          <w:top w:val="single" w:sz="10" w:space="8" w:color="9BCB58"/>
          <w:left w:val="single" w:sz="10" w:space="8" w:color="9BCB58"/>
          <w:bottom w:val="single" w:sz="10" w:space="8" w:color="9BCB58"/>
          <w:right w:val="single" w:sz="10" w:space="8" w:color="9BCB58"/>
        </w:pBdr>
      </w:pPr>
      <w:r>
        <w:rPr>
          <w:rFonts w:ascii="Calibri" w:hAnsi="Calibri"/>
          <w:b/>
          <w:i w:val="0"/>
          <w:color w:val="07100D"/>
          <w:sz w:val="20"/>
        </w:rPr>
        <w:t>WAŻNE: Test może rozpocząć się dopiero po podpisaniu dokumentu przez osobę uprawnioną do udzielenia zgody na każdy cel w zakresie. Wzór jest materiałem operacyjnym, nie poradą prawną. Przed użyciem dopasuj go z osobą odpowiedzialną za kwestie prawne, umowne i regulacyjne.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Instrukcja użycia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Wpisz dokładne domeny, adresy IP, aplikacje, API, konta chmurowe i środowiska. Ogólna nazwa systemu nie wystarcza.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Potwierdź, że zamawiający jest właścicielem celów albo posiada prawo do udzielenia zgody, także dla usług dostawców zewnętrznych.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Usuń przykłady, uzupełnij wszystkie pola i uzgodnij sprzeczności przed podpisaniem.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Przekaż dane dostępowe wyłącznie bezpiecznym kanałem. Nie wysyłaj haseł, tokenów, kluczy API ani kodów odzyskiwania pocztą elektroniczną.</w:t>
      </w:r>
    </w:p>
    <w:p>
      <w:pPr>
        <w:numPr>
          <w:ilvl w:val="0"/>
          <w:numId w:val="11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Zmiana zakresu, dat lub technik wymaga udokumentowanej zgody obu stron przed wykonaniem dodatkowych działań.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1. Strony i osoby odpowiedzialne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2100"/>
        <w:gridCol w:w="2200"/>
        <w:gridCol w:w="2360"/>
        <w:gridCol w:w="270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Rola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Imię i nazwisko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Kontakt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Uprawnienia / dostępność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Autoryzujący po stronie zamawiającego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[[UZUPEŁNIJ]]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[[E-MAIL, TELEFON]]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[[PODSTAWA UMOCOWANIA]]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Kontakt operacyjny zamawiającego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[[UZUPEŁNIJ]]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[[E-MAIL, TELEFON]]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[[GODZINY DOSTĘPNOŚCI]]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Kontakt awaryjny / STOP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[[UZUPEŁNIJ]]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[[TELEFON 24/7 LUB W OKNIE]]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[[MOŻE NATYCHMIAST PRZERWAĆ TEST]]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Kierownik testu po stronie wykonawcy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[[UZUPEŁNIJ]]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[[E-MAIL, TELEFON]]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[[GODZINY DOSTĘPNOŚCI]]</w:t>
            </w:r>
          </w:p>
        </w:tc>
      </w:tr>
      <w:t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Pentesterzy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[[UZUPEŁNIJ]]</w:t>
            </w:r>
          </w:p>
        </w:tc>
        <w:tc>
          <w:tcPr>
            <w:tcW w:type="dxa" w:w="2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[[KANAŁ ROBOCZY]]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[[LISTA OSÓB LUB ZESPOŁU]]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2. Oświadczenie i autoryzacja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Zamawiający oświadcza, że jest właścicielem wskazanych celów albo ma skuteczne uprawnienie do udzielenia zgody na opisane działania. Zamawiający autoryzuje wykonawcę i wskazane osoby do przeprowadzenia testu wyłącznie w granicach tego dokumentu, w określonym czasie i na wskazanych warunkach.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Autoryzacja nie obejmuje zasobów, danych, kont, organizacji ani usług niewymienionych wprost. Brak sprzeciwu, dostęp techniczny albo publiczna dostępność usługi nie stanowią rozszerzenia zgody.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Podstawa prawa do autoryzacji: </w:t>
      </w:r>
      <w:r>
        <w:rPr>
          <w:rFonts w:ascii="Calibri" w:hAnsi="Calibri"/>
          <w:b w:val="0"/>
          <w:i/>
          <w:color w:val="59635C"/>
          <w:sz w:val="22"/>
        </w:rPr>
        <w:t>[[UZUPEŁNIJ: własność, umowa, zgoda dostawcy, pełnomocnictwo lub inne uprawnienie]]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Powiązane dokumenty: </w:t>
      </w:r>
      <w:r>
        <w:rPr>
          <w:rFonts w:ascii="Calibri" w:hAnsi="Calibri"/>
          <w:b w:val="0"/>
          <w:i/>
          <w:color w:val="59635C"/>
          <w:sz w:val="22"/>
        </w:rPr>
        <w:t>[[UZUPEŁNIJ: umowa, SOW, NDA, DPA, zgody dostawców, ticket zmiany]]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3. Dokładny zakres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Każdy wiersz powinien identyfikować konkretny cel. Zakres domeny głównej nie obejmuje automatycznie wszystkich subdomen, adresów IP, aplikacji mobilnych, API ani usług chmurowych.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500"/>
        <w:gridCol w:w="2500"/>
        <w:gridCol w:w="2100"/>
        <w:gridCol w:w="2100"/>
        <w:gridCol w:w="216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Lp.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Cel i właściciel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Środowisko / punkt startowy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Dozwolony dostęp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Ograniczenia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1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[[FQDN, URL, IP/CIDR, APP ID, API, TENANT / KONTO]]</w:t>
              <w:br/>
              <w:t>[[WŁAŚCICIEL]]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[[PROD / TEST / STAGE]]</w:t>
              <w:br/>
              <w:t>[[BLACK / GREY / WHITE BOX]]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[[ROLE, KONTA, VPN, REPOZYTORIUM]]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[[MODUŁY I WYŁĄCZENIA]]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2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[[CEL I WŁAŚCICIEL]]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[[ŚRODOWISKO]]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[[DOSTĘP]]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[[OGRANICZENIA]]</w:t>
            </w:r>
          </w:p>
        </w:tc>
      </w:tr>
      <w:t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3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[[CEL I WŁAŚCICIEL]]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[[ŚRODOWISKO]]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[[DOSTĘP]]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[[OGRANICZENIA]]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/>
          <w:b/>
          <w:i w:val="0"/>
          <w:color w:val="31540F"/>
          <w:sz w:val="26"/>
        </w:rPr>
        <w:t>Poza zakresem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[[DOMENY, SUBDOMENY, IP, TENANTY, KONTA, APLIKACJE I INTEGRACJE WYŁĄCZONE]]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[[DANE, UŻYTKOWNICY, PROCESY I FUNKCJE, KTÓRYCH NIE WOLNO DOTYKAĆ]]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[[DOSTAWCY ZEWNĘTRZNI BEZ ODRĘBNEJ ZGODY]]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4. Okno testowe i źródła ruchu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Ustalenie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Wartość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Początek i koniec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[[DATA, GODZINA, STREFA CZASOWA]]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Dopuszczalna praca poza oknem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[[NIE / TAK, WARUNKI I OSOBA ZATWIERDZAJĄCA]]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Adresy IP wykonawcy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[[PUBLICZNE IP / CIDR DO ALLOWLISTY I MONITORINGU]]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Identyfikator ruchu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[[NAGŁÓWEK HTTP, USER-AGENT, TAG LUB INNY WSKAŹNIK]]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Okna zmian / zamrożenia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[[TERMINY I OGRANICZENIA]]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Planowane wdrożenia w trakcie testu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[[BRAK / LISTA I TERMINY]]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5. Dozwolone działania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Zaznacz wyłącznie czynności uzgodnione dla danego celu. Dozwolenie powinno wskazywać limity, środowisko i ewentualne wymaganie wcześniejszego potwierdzenia.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Automatyczne skanowanie w uzgodnionym limicie: [[NARZĘDZIA / RPS / WĄTKI / OKNO]].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Ręczne testy uwierzytelniania, sesji, autoryzacji i logiki biznesowej.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Kontrolowana modyfikacja własnych danych testowych i obiektów utworzonych do testu.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Próby dostępu między uzgodnionymi kontami i rolami testowymi.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Upload bezpiecznych plików testowych bez złośliwego ładunku wykonawczego, jeśli uzgodniono.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Kontrolowane potwierdzenie wpływu podatności do minimalnego poziomu potrzebnego jako dowód.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Testy infrastruktury, chmury, socjotechniczne lub fizyczne tylko po osobnym, jednoznacznym wpisaniu do zakresu.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6. Działania zabronione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Ataki na zasoby spoza zakresu oraz dalsza eksploracja po stwierdzeniu wyjścia poza zakres.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DoS, DDoS, testy obciążeniowe, masowe generowanie ruchu lub celowe pogarszanie dostępności, chyba że osobno autoryzowano bezpieczny scenariusz.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Usuwanie, trwała zmiana, szyfrowanie lub publikowanie danych i konfiguracji.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Instalowanie trwałych mechanizmów dostępu, malware, ransomware, beaconów lub narzędzi utrzymujących dostęp.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Dostęp do realnych danych klientów lub pracowników ponad minimum przypadkowo ujawnione i niezbędne do potwierdzenia znaleziska.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Phishing, vishing, smishing, podszywanie się, wejście fizyczne i testy pracowników bez odrębnego scenariusza oraz zgody.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Atakowanie dostawców, usług SaaS, operatorów płatności, hostingu, CDN albo infrastruktury współdzielonej bez ich wymaganej zgody.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Zmiana haseł realnych użytkowników, przejmowanie kont, wykonywanie transakcji lub kontakt z klientami.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Dodatkowe zakazy: </w:t>
      </w:r>
      <w:r>
        <w:rPr>
          <w:rFonts w:ascii="Calibri" w:hAnsi="Calibri"/>
          <w:b w:val="0"/>
          <w:i/>
          <w:color w:val="59635C"/>
          <w:sz w:val="22"/>
        </w:rPr>
        <w:t>[[UZUPEŁNIJ: zakazy specyficzne dla środowiska i procesu biznesowego]]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7. Konta, dane i sekrety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Element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Ustalenie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Konta testowe i role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[[LISTA RÓL, WŁAŚCICIEL, TERMIN GOTOWOŚCI]]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MFA / SSO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[[SPOSÓB OBSŁUGI BEZ WSPÓŁDZIELENIA SEKRETÓW]]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Dane testowe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[[WŁASNE / ZANONIMIZOWANE / INNE, ZASADY TWORZENIA I USUWANIA]]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Bezpieczny kanał sekretów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[[MENEDŻER HASEŁ / SEJF / JEDNORAZOWY LINK / INNY]]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Zakres widoczności realnych danych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[[BRAK / OGRANICZENIE / PROCEDURA W RAZIE UJAWNIENIA]]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Rotacja po teście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[[KTO I KIEDY WYŁĄCZA KONTA, TOKENY, VPN I ALLOWLISTĘ]]</w:t>
            </w:r>
          </w:p>
        </w:tc>
      </w:tr>
    </w:tbl>
    <w:p>
      <w:pPr>
        <w:spacing w:after="40"/>
      </w:pPr>
    </w:p>
    <w:p>
      <w:pPr>
        <w:spacing w:before="40" w:after="200" w:line="288" w:lineRule="auto"/>
        <w:shd w:fill="F3F5ED"/>
        <w:pBdr>
          <w:top w:val="single" w:sz="10" w:space="8" w:color="9BCB58"/>
          <w:left w:val="single" w:sz="10" w:space="8" w:color="9BCB58"/>
          <w:bottom w:val="single" w:sz="10" w:space="8" w:color="9BCB58"/>
          <w:right w:val="single" w:sz="10" w:space="8" w:color="9BCB58"/>
        </w:pBdr>
      </w:pPr>
      <w:r>
        <w:rPr>
          <w:rFonts w:ascii="Calibri" w:hAnsi="Calibri"/>
          <w:b/>
          <w:i w:val="0"/>
          <w:color w:val="07100D"/>
          <w:sz w:val="20"/>
        </w:rPr>
        <w:t>NIE WYSYŁAJ SEKRETÓW E-MAILEM: haseł, tokenów, kluczy API, kluczy prywatnych, kodów MFA ani kodów odzyskiwania. Dokument powinien zawierać wyłącznie nazwę uzgodnionego bezpiecznego kanału.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8. Bezpieczeństwo operacyjne i warunki STOP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Każda osoba wskazana jako kontakt STOP może zażądać natychmiastowego wstrzymania działań. Wykonawca przerywa test bez oczekiwania na dodatkowe potwierdzenie, zabezpiecza stan prac i zgłasza zakres wykonanych czynności.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31540F"/>
          <w:sz w:val="26"/>
        </w:rPr>
        <w:t>Natychmiastowe przerwanie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Niedostępność, degradacja, wzrost błędów lub alert wskazujący na ryzyko dla ciągłości działania.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Nieoczekiwany dostęp do realnych danych, systemu spoza zakresu lub uprawnień wykraczających poza uzgodniony cel.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Wykrycie incydentu niezwiązanego z testem, którego obsługa mogłaby zostać zakłócona przez dalsze działania.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Brak możliwości odróżnienia ruchu testowego od realnego ataku.</w:t>
      </w:r>
    </w:p>
    <w:p>
      <w:pPr>
        <w:numPr>
          <w:ilvl w:val="0"/>
          <w:numId w:val="10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Żądanie zamawiającego, właściciela systemu, operatora lub wykonawcy odpowiedzialnego za bezpieczeństwo testu.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Dodatkowe warunki STOP: </w:t>
      </w:r>
      <w:r>
        <w:rPr>
          <w:rFonts w:ascii="Calibri" w:hAnsi="Calibri"/>
          <w:b w:val="0"/>
          <w:i/>
          <w:color w:val="59635C"/>
          <w:sz w:val="22"/>
        </w:rPr>
        <w:t>[[UZUPEŁNIJ: progi błędów, alerty, procesy krytyczne, limity ruchu]]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Procedura wznowienia: </w:t>
      </w:r>
      <w:r>
        <w:rPr>
          <w:rFonts w:ascii="Calibri" w:hAnsi="Calibri"/>
          <w:b w:val="0"/>
          <w:i/>
          <w:color w:val="59635C"/>
          <w:sz w:val="22"/>
        </w:rPr>
        <w:t>[[UZUPEŁNIJ: kto analizuje, kto zatwierdza, jak dokumentowana jest nowa godzina startu]]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9. Komunikacja i eskalacja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1950"/>
        <w:gridCol w:w="1500"/>
        <w:gridCol w:w="2500"/>
        <w:gridCol w:w="3410"/>
      </w:tblGrid>
      <w:tr>
        <w:trPr>
          <w:tblHeader w:val="true"/>
        </w:trP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Zdarzenie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Czas zgłoszenia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Kanał i odbiorcy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Minimalna treść</w:t>
            </w:r>
          </w:p>
        </w:tc>
      </w:tr>
      <w:t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Krytyczna podatność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[[NP. DO 30 MINUT]]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[[TELEFON + BEZPIECZNY KANAŁ]]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[[CEL, WPŁYW, BEZPIECZNY DOWÓD, DZIAŁANIE TYMCZASOWE]]</w:t>
            </w:r>
          </w:p>
        </w:tc>
      </w:tr>
      <w:t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Warunek STOP / awaria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[[NATYCHMIAST]]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[[KONTAKT STOP]]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[[CZAS, OBJAW, OSTATNIA CZYNNOŚĆ, STATUS WSTRZYMANIA]]</w:t>
            </w:r>
          </w:p>
        </w:tc>
      </w:tr>
      <w:t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Wyjście poza zakres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[[NATYCHMIAST]]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[[KIEROWNICY OBU STRON]]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[[CO UJAWNIONO, CZEGO NIE KONTYNUOWANO]]</w:t>
            </w:r>
          </w:p>
        </w:tc>
      </w:tr>
      <w:tr>
        <w:tc>
          <w:tcPr>
            <w:tcW w:type="dxa" w:w="19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Zwykły status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[[NP. CODZIENNIE 16:00]]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[[KANAŁ ROBOCZY]]</w:t>
            </w:r>
          </w:p>
        </w:tc>
        <w:tc>
          <w:tcPr>
            <w:tcW w:type="dxa" w:w="34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[[POSTĘP, BLOKERY, ZMIANY]]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10. Dowody, dane i ich usunięcie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Wykonawca utrwala tylko dowody niezbędne do odtworzenia i naprawy podatności.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Sekrety i dane osobowe są maskowane w raporcie, o ile pełna wartość nie jest niezbędna i osobno uzgodniona.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Raport, notatki, zrzuty ekranu, logi i pliki robocze są szyfrowane w transmisji i w spoczynku.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Dostęp do materiałów mają wyłącznie wskazane osoby realizujące i zatwierdzające test.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Kopie robocze i dane dostępowe są usuwane albo zwracane w uzgodnionym terminie, z uwzględnieniem obowiązków prawnych i umownych.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Dozwolone rodzaje dowodów: </w:t>
      </w:r>
      <w:r>
        <w:rPr>
          <w:rFonts w:ascii="Calibri" w:hAnsi="Calibri"/>
          <w:b w:val="0"/>
          <w:i/>
          <w:color w:val="59635C"/>
          <w:sz w:val="22"/>
        </w:rPr>
        <w:t>[[UZUPEŁNIJ: zrzuty, request/response, logi, próbki danych, nagrania]]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Miejsce przetwarzania: </w:t>
      </w:r>
      <w:r>
        <w:rPr>
          <w:rFonts w:ascii="Calibri" w:hAnsi="Calibri"/>
          <w:b w:val="0"/>
          <w:i/>
          <w:color w:val="59635C"/>
          <w:sz w:val="22"/>
        </w:rPr>
        <w:t>[[UZUPEŁNIJ: kraj / region / zaakceptowane usługi]]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Termin usunięcia: </w:t>
      </w:r>
      <w:r>
        <w:rPr>
          <w:rFonts w:ascii="Calibri" w:hAnsi="Calibri"/>
          <w:b w:val="0"/>
          <w:i/>
          <w:color w:val="59635C"/>
          <w:sz w:val="22"/>
        </w:rPr>
        <w:t>[[UZUPEŁNIJ: np. 30 dni po odbiorze raportu lub zakończeniu retestu]]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Potwierdzenie usunięcia: </w:t>
      </w:r>
      <w:r>
        <w:rPr>
          <w:rFonts w:ascii="Calibri" w:hAnsi="Calibri"/>
          <w:b w:val="0"/>
          <w:i/>
          <w:color w:val="59635C"/>
          <w:sz w:val="22"/>
        </w:rPr>
        <w:t>[[UZUPEŁNIJ: wymagane / niewymagane, forma]]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11. Raport, odbiór i retest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Raport zawiera zakres, czas testu, metodykę, ograniczenia oraz elementy nieprzetestowane.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Każde potwierdzone znalezisko zawiera ryzyko, dotknięty zasób, warunki, bezpieczny dowód, wpływ i rekomendację.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Krytyczne ustalenia są zgłaszane w trakcie prac, bez czekania na raport końcowy.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Odbiór obejmuje spotkanie techniczne i możliwość zgłoszenia pytań albo korekt faktycznych.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Retest dotyczy uzgodnionych poprawek i kończy się dokumentem wskazującym wynik dla każdego znaleziska.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Borders>
          <w:top w:val="single" w:sz="6" w:color="CBD0C8"/>
          <w:left w:val="single" w:sz="6" w:color="CBD0C8"/>
          <w:bottom w:val="single" w:sz="6" w:color="CBD0C8"/>
          <w:right w:val="single" w:sz="6" w:color="CBD0C8"/>
          <w:insideH w:val="single" w:sz="6" w:color="CBD0C8"/>
          <w:insideV w:val="single" w:sz="6" w:color="CBD0C8"/>
        </w:tblBorders>
        <w:tblInd w:w="120" w:type="dxa"/>
      </w:tblPr>
      <w:tblGrid>
        <w:gridCol w:w="3000"/>
        <w:gridCol w:w="6360"/>
      </w:tblGrid>
      <w:tr>
        <w:trPr>
          <w:tblHeader w:val="true"/>
        </w:trP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Rezultat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6F4CE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/>
                <w:i w:val="0"/>
                <w:color w:val="31540F"/>
                <w:sz w:val="19"/>
              </w:rPr>
              <w:t>Termin / warunek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Wstępne ustalenia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 / GODZINA / NIE DOTYCZY]]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Raport końcowy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[[DATA I BEZPIECZNY KANAŁ DOSTARCZENIA]]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Spotkanie omówieniowe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[[TERMIN / UCZESTNICY]]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Retest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[[ZAKRES, TERMIN, LICZBA PODEJŚĆ]]</w:t>
            </w:r>
          </w:p>
        </w:tc>
      </w:tr>
      <w:tr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Zamknięcie dostępów</w:t>
            </w:r>
          </w:p>
        </w:tc>
        <w:tc>
          <w:tcPr>
            <w:tcW w:type="dxa" w:w="6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76" w:lineRule="auto"/>
            </w:pPr>
            <w:r/>
            <w:r>
              <w:rPr>
                <w:rFonts w:ascii="Calibri" w:hAnsi="Calibri"/>
                <w:b w:val="0"/>
                <w:i w:val="0"/>
                <w:color w:val="07100D"/>
                <w:sz w:val="19"/>
              </w:rPr>
              <w:t>[[OSOBA I TERMIN]]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12. Zmiany, odpowiedzialność i pierwszeństwo dokumentów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Każda zmiana celu, okna testowego, źródłowego adresu IP, techniki lub limitu wymaga udokumentowanej zgody osób uprawnionych. W sytuacji sprzeczności stosuje się kolejność pierwszeństwa: [[UZUPEŁNIJ, NP. UMOWA GŁÓWNA, SOW, TEN DOKUMENT, TICKET ZMIANY]].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Strony potwierdzają, że dokument określa operacyjne granice testu. Nie zastępuje on uzgodnień dotyczących odpowiedzialności, poufności, ochrony danych, własności rezultatów, podwykonawców, prawa właściwego ani innych wymaganych postanowień umownych.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Sposób zatwierdzania zmian: </w:t>
      </w:r>
      <w:r>
        <w:rPr>
          <w:rFonts w:ascii="Calibri" w:hAnsi="Calibri"/>
          <w:b w:val="0"/>
          <w:i/>
          <w:color w:val="59635C"/>
          <w:sz w:val="22"/>
        </w:rPr>
        <w:t>[[UZUPEŁNIJ: podpis elektroniczny, podpis odręczny, ticket z listą osób uprawnionych]]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13. Ostateczna kontrola przed startem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Każdy cel ma właściciela i podstawę autoryzacji.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Zakres i lista wyłączeń zawierają konkretne identyfikatory techniczne.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Daty, godziny i strefa czasowa są jednoznaczne.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Źródłowe adresy IP wykonawcy są znane i w razie potrzeby dodane do allowlisty.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Konta testowe, role, MFA, VPN i dokumentacja zostały sprawdzone.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Monitoring, kontakt awaryjny i warunki STOP są aktywne.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Zabronione techniki i limity automatyzacji są zapisane.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Bezpieczny kanał na sekrety i raport działa.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Zespół zna procedurę krytycznego zgłoszenia i wznowienia po STOP.</w:t>
      </w:r>
    </w:p>
    <w:p>
      <w:pPr>
        <w:numPr>
          <w:ilvl w:val="0"/>
          <w:numId w:val="12"/>
        </w:numPr>
        <w:spacing w:before="0" w:after="8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Dokument podpisały osoby uprawnione po obu stronach.</w:t>
      </w:r>
    </w:p>
    <w:p>
      <w:r>
        <w:br w:type="page"/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14. Podpisy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Podpisując dokument, strony potwierdzają uzgodnienie zakresu, czasu, technik, ograniczeń, komunikacji i zasad bezpieczeństwa testu.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31540F"/>
          <w:sz w:val="26"/>
        </w:rPr>
        <w:t>Zamawiający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Imię i nazwisko: </w:t>
      </w:r>
      <w:r>
        <w:rPr>
          <w:rFonts w:ascii="Calibri" w:hAnsi="Calibri"/>
          <w:b w:val="0"/>
          <w:i/>
          <w:color w:val="59635C"/>
          <w:sz w:val="22"/>
        </w:rPr>
        <w:t>[[UZUPEŁNIJ: osoba uprawniona do reprezentacji lub autoryzacji]]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Stanowisko / podstawa umocowania: </w:t>
      </w:r>
      <w:r>
        <w:rPr>
          <w:rFonts w:ascii="Calibri" w:hAnsi="Calibri"/>
          <w:b w:val="0"/>
          <w:i/>
          <w:color w:val="59635C"/>
          <w:sz w:val="22"/>
        </w:rPr>
        <w:t>[[UZUPEŁNIJ: rola albo pełnomocnictwo]]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Data i miejsce: </w:t>
      </w:r>
      <w:r>
        <w:rPr>
          <w:rFonts w:ascii="Calibri" w:hAnsi="Calibri"/>
          <w:b w:val="0"/>
          <w:i/>
          <w:color w:val="59635C"/>
          <w:sz w:val="22"/>
        </w:rPr>
        <w:t>[[UZUPEŁNIJ: data, godzina opcjonalnie, miejscowość]]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Podpis: ______________________________________________</w:t>
      </w:r>
    </w:p>
    <w:p>
      <w:pPr>
        <w:pStyle w:val="Heading2"/>
        <w:keepNext/>
      </w:pPr>
      <w:r>
        <w:rPr>
          <w:rFonts w:ascii="Calibri" w:hAnsi="Calibri"/>
          <w:b/>
          <w:i w:val="0"/>
          <w:color w:val="31540F"/>
          <w:sz w:val="26"/>
        </w:rPr>
        <w:t>Wykonawca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Imię i nazwisko: </w:t>
      </w:r>
      <w:r>
        <w:rPr>
          <w:rFonts w:ascii="Calibri" w:hAnsi="Calibri"/>
          <w:b w:val="0"/>
          <w:i/>
          <w:color w:val="59635C"/>
          <w:sz w:val="22"/>
        </w:rPr>
        <w:t>[[UZUPEŁNIJ: osoba uprawniona do reprezentacji lub autoryzacji]]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Stanowisko / podstawa umocowania: </w:t>
      </w:r>
      <w:r>
        <w:rPr>
          <w:rFonts w:ascii="Calibri" w:hAnsi="Calibri"/>
          <w:b w:val="0"/>
          <w:i/>
          <w:color w:val="59635C"/>
          <w:sz w:val="22"/>
        </w:rPr>
        <w:t>[[UZUPEŁNIJ: rola albo pełnomocnictwo]]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Data i miejsce: </w:t>
      </w:r>
      <w:r>
        <w:rPr>
          <w:rFonts w:ascii="Calibri" w:hAnsi="Calibri"/>
          <w:b w:val="0"/>
          <w:i/>
          <w:color w:val="59635C"/>
          <w:sz w:val="22"/>
        </w:rPr>
        <w:t>[[UZUPEŁNIJ: data, godzina opcjonalnie, miejscowość]]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Podpis: ______________________________________________</w:t>
      </w:r>
    </w:p>
    <w:p>
      <w:pPr>
        <w:pStyle w:val="Heading1"/>
        <w:keepNext/>
      </w:pPr>
      <w:r>
        <w:rPr>
          <w:rFonts w:ascii="Calibri" w:hAnsi="Calibri"/>
          <w:b/>
          <w:i w:val="0"/>
          <w:color w:val="31540F"/>
          <w:sz w:val="32"/>
        </w:rPr>
        <w:t>Załącznik A. Szybka karta zgody na dodatkową czynność</w:t>
      </w:r>
    </w:p>
    <w:p>
      <w:pPr>
        <w:spacing w:before="0" w:after="120" w:line="300" w:lineRule="auto"/>
      </w:pPr>
      <w:r>
        <w:rPr>
          <w:rFonts w:ascii="Calibri" w:hAnsi="Calibri"/>
          <w:b w:val="0"/>
          <w:i w:val="0"/>
          <w:color w:val="07100D"/>
          <w:sz w:val="22"/>
        </w:rPr>
        <w:t>Karta służy wyłącznie do udokumentowania zmiany w granicach istniejącej umowy i nie może rozszerzać praw osoby zatwierdzającej ponad jej umocowanie.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Opis dodatkowej czynności: </w:t>
      </w:r>
      <w:r>
        <w:rPr>
          <w:rFonts w:ascii="Calibri" w:hAnsi="Calibri"/>
          <w:b w:val="0"/>
          <w:i/>
          <w:color w:val="59635C"/>
          <w:sz w:val="22"/>
        </w:rPr>
        <w:t>[[UZUPEŁNIJ: cel, technika, środowisko, spodziewany wpływ]]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Powód i ryzyko: </w:t>
      </w:r>
      <w:r>
        <w:rPr>
          <w:rFonts w:ascii="Calibri" w:hAnsi="Calibri"/>
          <w:b w:val="0"/>
          <w:i/>
          <w:color w:val="59635C"/>
          <w:sz w:val="22"/>
        </w:rPr>
        <w:t>[[UZUPEŁNIJ: dlaczego jest potrzebna i jak ograniczono ryzyko]]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Nowe okno i limity: </w:t>
      </w:r>
      <w:r>
        <w:rPr>
          <w:rFonts w:ascii="Calibri" w:hAnsi="Calibri"/>
          <w:b w:val="0"/>
          <w:i/>
          <w:color w:val="59635C"/>
          <w:sz w:val="22"/>
        </w:rPr>
        <w:t>[[UZUPEŁNIJ: data, godzina, strefa czasowa, RPS, czas trwania]]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Osoba zatwierdzająca: </w:t>
      </w:r>
      <w:r>
        <w:rPr>
          <w:rFonts w:ascii="Calibri" w:hAnsi="Calibri"/>
          <w:b w:val="0"/>
          <w:i/>
          <w:color w:val="59635C"/>
          <w:sz w:val="22"/>
        </w:rPr>
        <w:t>[[UZUPEŁNIJ: imię, rola, data, godzina, kanał zatwierdzenia]]</w:t>
      </w:r>
    </w:p>
    <w:p>
      <w:pPr>
        <w:spacing w:before="40" w:after="140" w:line="276" w:lineRule="auto"/>
      </w:pPr>
      <w:r>
        <w:rPr>
          <w:rFonts w:ascii="Calibri" w:hAnsi="Calibri"/>
          <w:b/>
          <w:i w:val="0"/>
          <w:color w:val="31540F"/>
          <w:sz w:val="22"/>
        </w:rPr>
        <w:t xml:space="preserve">Wynik: </w:t>
      </w:r>
      <w:r>
        <w:rPr>
          <w:rFonts w:ascii="Calibri" w:hAnsi="Calibri"/>
          <w:b w:val="0"/>
          <w:i/>
          <w:color w:val="59635C"/>
          <w:sz w:val="22"/>
        </w:rPr>
        <w:t>[[UZUPEŁNIJ: wykonano / anulowano / przerwano oraz odnośnik do dowodu]]</w:t>
      </w:r>
    </w:p>
    <w:p>
      <w:pPr>
        <w:spacing w:before="0" w:after="120" w:line="300" w:lineRule="auto"/>
      </w:pPr>
      <w:r>
        <w:rPr>
          <w:rFonts w:ascii="Calibri" w:hAnsi="Calibri"/>
          <w:b w:val="0"/>
          <w:i/>
          <w:color w:val="07100D"/>
          <w:sz w:val="22"/>
        </w:rPr>
        <w:t>Materiał operacyjny Pentest24. Przed użyciem w konkretnym zleceniu zalecany jest przegląd prawny oraz dopasowanie do umowy, branży, jurysdykcji i zasad właścicieli usług zewnętrznych.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9635C"/>
        <w:sz w:val="18"/>
      </w:rPr>
      <w:t xml:space="preserve">Strona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</w:p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☐"/>
      <w:suff w:val="tab"/>
      <w:pPr>
        <w:tabs>
          <w:tab w:val="num" w:pos="540"/>
        </w:tabs>
        <w:ind w:left="540" w:hanging="27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7100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1540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1540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31540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Autoryzacja i Rules of Engagement testu penetracyjnego</dc:title>
  <dc:subject>Edytowalny wzór pisemnej zgody i zasad prowadzenia pentestu</dc:subject>
  <dc:creator>Pentest24</dc:creator>
  <cp:keywords>pentest, autoryzacja, zgoda, rules of engagement, zakres, bezpieczeństwo</cp:keywords>
  <dc:description>Publiczny materiał operacyjny Pentest24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